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4A" w:rsidRPr="0053706E" w:rsidRDefault="00430C4A" w:rsidP="00430C4A">
      <w:pPr>
        <w:spacing w:line="240" w:lineRule="auto"/>
        <w:jc w:val="center"/>
        <w:rPr>
          <w:rFonts w:ascii="Cambria" w:hAnsi="Cambria"/>
          <w:b/>
          <w:sz w:val="32"/>
          <w:szCs w:val="24"/>
        </w:rPr>
      </w:pPr>
      <w:bookmarkStart w:id="0" w:name="_GoBack"/>
      <w:bookmarkEnd w:id="0"/>
      <w:r w:rsidRPr="0053706E">
        <w:rPr>
          <w:rFonts w:ascii="Cambria" w:hAnsi="Cambria"/>
          <w:b/>
          <w:sz w:val="32"/>
          <w:szCs w:val="24"/>
        </w:rPr>
        <w:t xml:space="preserve">LNHA State </w:t>
      </w:r>
      <w:r w:rsidR="00DF5051">
        <w:rPr>
          <w:rFonts w:ascii="Cambria" w:hAnsi="Cambria"/>
          <w:b/>
          <w:sz w:val="32"/>
          <w:szCs w:val="24"/>
        </w:rPr>
        <w:t>Regulatory Update: October 2017</w:t>
      </w:r>
    </w:p>
    <w:p w:rsidR="00DF5051" w:rsidRDefault="00DF5051" w:rsidP="00430C4A">
      <w:pPr>
        <w:rPr>
          <w:rFonts w:ascii="Cambria" w:hAnsi="Cambria"/>
          <w:b/>
          <w:color w:val="4472C4" w:themeColor="accent1"/>
          <w:sz w:val="28"/>
          <w:szCs w:val="24"/>
        </w:rPr>
      </w:pPr>
      <w:r w:rsidRPr="00DF5051">
        <w:rPr>
          <w:rFonts w:ascii="Cambria" w:hAnsi="Cambria"/>
          <w:sz w:val="24"/>
          <w:szCs w:val="24"/>
        </w:rPr>
        <w:t xml:space="preserve">Each month, the Division of Administration publishes the Louisiana Register which chronicles the executive orders and regulatory changes proposed or enacted by the state. To keep our members abreast of any regulatory changes, Wes Hataway, LNHA Legal and Policy Director, publishes a monthly summary of regulatory changes affecting our profession. Click </w:t>
      </w:r>
      <w:hyperlink r:id="rId7" w:history="1">
        <w:r w:rsidRPr="00DF5051">
          <w:rPr>
            <w:rStyle w:val="Hyperlink"/>
            <w:rFonts w:ascii="Cambria" w:hAnsi="Cambria"/>
            <w:sz w:val="24"/>
            <w:szCs w:val="24"/>
          </w:rPr>
          <w:t>here</w:t>
        </w:r>
      </w:hyperlink>
      <w:r w:rsidRPr="00DF5051">
        <w:rPr>
          <w:rFonts w:ascii="Cambria" w:hAnsi="Cambria"/>
          <w:sz w:val="24"/>
          <w:szCs w:val="24"/>
        </w:rPr>
        <w:t xml:space="preserve"> to view the October edition.</w:t>
      </w:r>
    </w:p>
    <w:p w:rsidR="00430C4A" w:rsidRPr="0053706E" w:rsidRDefault="00430C4A" w:rsidP="00430C4A">
      <w:pPr>
        <w:rPr>
          <w:rFonts w:ascii="Cambria" w:hAnsi="Cambria"/>
          <w:sz w:val="24"/>
          <w:szCs w:val="24"/>
        </w:rPr>
      </w:pPr>
      <w:r w:rsidRPr="0053706E">
        <w:rPr>
          <w:rFonts w:ascii="Cambria" w:hAnsi="Cambria"/>
          <w:b/>
          <w:color w:val="4472C4" w:themeColor="accent1"/>
          <w:sz w:val="28"/>
          <w:szCs w:val="24"/>
        </w:rPr>
        <w:t>Emergency Rules</w:t>
      </w:r>
      <w:r w:rsidR="0053706E" w:rsidRPr="0053706E">
        <w:rPr>
          <w:rFonts w:ascii="Cambria" w:hAnsi="Cambria"/>
          <w:b/>
          <w:sz w:val="24"/>
          <w:szCs w:val="24"/>
        </w:rPr>
        <w:br/>
      </w:r>
      <w:r w:rsidRPr="0053706E">
        <w:rPr>
          <w:rFonts w:ascii="Cambria" w:hAnsi="Cambria"/>
          <w:b/>
          <w:sz w:val="24"/>
          <w:szCs w:val="24"/>
        </w:rPr>
        <w:t xml:space="preserve">Nursing Facilities: Reimbursement Methodology (LAC </w:t>
      </w:r>
      <w:r w:rsidRPr="00C26EA1">
        <w:rPr>
          <w:rFonts w:ascii="Cambria" w:hAnsi="Cambria"/>
          <w:b/>
          <w:noProof/>
          <w:sz w:val="24"/>
          <w:szCs w:val="24"/>
        </w:rPr>
        <w:t>50:II.20001</w:t>
      </w:r>
      <w:r w:rsidRPr="0053706E">
        <w:rPr>
          <w:rFonts w:ascii="Cambria" w:hAnsi="Cambria"/>
          <w:b/>
          <w:sz w:val="24"/>
          <w:szCs w:val="24"/>
        </w:rPr>
        <w:t>)</w:t>
      </w:r>
      <w:r w:rsidRPr="0053706E">
        <w:rPr>
          <w:rFonts w:ascii="Cambria" w:hAnsi="Cambria"/>
          <w:b/>
          <w:sz w:val="24"/>
          <w:szCs w:val="24"/>
        </w:rPr>
        <w:br/>
      </w:r>
      <w:r w:rsidRPr="0053706E">
        <w:rPr>
          <w:rFonts w:ascii="Cambria" w:hAnsi="Cambria"/>
          <w:sz w:val="24"/>
          <w:szCs w:val="24"/>
        </w:rPr>
        <w:t xml:space="preserve">This Emergency Rule continues the provisions of the July 1, </w:t>
      </w:r>
      <w:r w:rsidRPr="00C26EA1">
        <w:rPr>
          <w:rFonts w:ascii="Cambria" w:hAnsi="Cambria"/>
          <w:noProof/>
          <w:sz w:val="24"/>
          <w:szCs w:val="24"/>
        </w:rPr>
        <w:t>2017</w:t>
      </w:r>
      <w:r w:rsidR="00C26EA1">
        <w:rPr>
          <w:rFonts w:ascii="Cambria" w:hAnsi="Cambria"/>
          <w:noProof/>
          <w:sz w:val="24"/>
          <w:szCs w:val="24"/>
        </w:rPr>
        <w:t>,</w:t>
      </w:r>
      <w:r w:rsidRPr="0053706E">
        <w:rPr>
          <w:rFonts w:ascii="Cambria" w:hAnsi="Cambria"/>
          <w:sz w:val="24"/>
          <w:szCs w:val="24"/>
        </w:rPr>
        <w:t xml:space="preserve"> Emergency Rule</w:t>
      </w:r>
      <w:r w:rsidR="0053706E">
        <w:rPr>
          <w:rFonts w:ascii="Cambria" w:hAnsi="Cambria"/>
          <w:sz w:val="24"/>
          <w:szCs w:val="24"/>
        </w:rPr>
        <w:t xml:space="preserve">. </w:t>
      </w:r>
      <w:r w:rsidRPr="0053706E">
        <w:rPr>
          <w:rFonts w:ascii="Cambria" w:hAnsi="Cambria"/>
          <w:sz w:val="24"/>
          <w:szCs w:val="24"/>
        </w:rPr>
        <w:t xml:space="preserve">The prior Emergency Rule amended the provisions governing the reimbursement methodology for nursing facilities </w:t>
      </w:r>
      <w:r w:rsidRPr="00C26EA1">
        <w:rPr>
          <w:rFonts w:ascii="Cambria" w:hAnsi="Cambria"/>
          <w:noProof/>
          <w:sz w:val="24"/>
          <w:szCs w:val="24"/>
        </w:rPr>
        <w:t>in order to</w:t>
      </w:r>
      <w:r w:rsidRPr="0053706E">
        <w:rPr>
          <w:rFonts w:ascii="Cambria" w:hAnsi="Cambria"/>
          <w:sz w:val="24"/>
          <w:szCs w:val="24"/>
        </w:rPr>
        <w:t xml:space="preserve"> impose provisions to ensure that the current rates in effect do not increase for the state fiscal year (“SFY”) 2018 rating period</w:t>
      </w:r>
      <w:r w:rsidR="0053706E">
        <w:rPr>
          <w:rFonts w:ascii="Cambria" w:hAnsi="Cambria"/>
          <w:sz w:val="24"/>
          <w:szCs w:val="24"/>
        </w:rPr>
        <w:t xml:space="preserve">. </w:t>
      </w:r>
      <w:r w:rsidRPr="00C26EA1">
        <w:rPr>
          <w:rFonts w:ascii="Cambria" w:hAnsi="Cambria"/>
          <w:noProof/>
          <w:sz w:val="24"/>
          <w:szCs w:val="24"/>
        </w:rPr>
        <w:t>This</w:t>
      </w:r>
      <w:r w:rsidRPr="0053706E">
        <w:rPr>
          <w:rFonts w:ascii="Cambria" w:hAnsi="Cambria"/>
          <w:sz w:val="24"/>
          <w:szCs w:val="24"/>
        </w:rPr>
        <w:t xml:space="preserve"> </w:t>
      </w:r>
      <w:r w:rsidRPr="00C26EA1">
        <w:rPr>
          <w:rFonts w:ascii="Cambria" w:hAnsi="Cambria"/>
          <w:noProof/>
          <w:sz w:val="24"/>
          <w:szCs w:val="24"/>
        </w:rPr>
        <w:t xml:space="preserve">was </w:t>
      </w:r>
      <w:r w:rsidR="004608E8">
        <w:rPr>
          <w:rFonts w:ascii="Cambria" w:hAnsi="Cambria"/>
          <w:noProof/>
          <w:sz w:val="24"/>
          <w:szCs w:val="24"/>
        </w:rPr>
        <w:t xml:space="preserve">needed </w:t>
      </w:r>
      <w:r w:rsidRPr="0053706E">
        <w:rPr>
          <w:rFonts w:ascii="Cambria" w:hAnsi="Cambria"/>
          <w:sz w:val="24"/>
          <w:szCs w:val="24"/>
        </w:rPr>
        <w:t>due to the budgetary shortfall in SFY 2017-2018</w:t>
      </w:r>
      <w:r w:rsidR="0053706E">
        <w:rPr>
          <w:rFonts w:ascii="Cambria" w:hAnsi="Cambria"/>
          <w:sz w:val="24"/>
          <w:szCs w:val="24"/>
        </w:rPr>
        <w:t xml:space="preserve">. </w:t>
      </w:r>
    </w:p>
    <w:p w:rsidR="00430C4A" w:rsidRPr="0053706E" w:rsidRDefault="00430C4A" w:rsidP="00430C4A">
      <w:pPr>
        <w:rPr>
          <w:rFonts w:ascii="Cambria" w:hAnsi="Cambria"/>
          <w:sz w:val="24"/>
          <w:szCs w:val="24"/>
        </w:rPr>
      </w:pPr>
      <w:r w:rsidRPr="0053706E">
        <w:rPr>
          <w:rFonts w:ascii="Cambria" w:hAnsi="Cambria"/>
          <w:sz w:val="24"/>
          <w:szCs w:val="24"/>
        </w:rPr>
        <w:t>LNHA chronicled these changes in our July Administrative Rules Update</w:t>
      </w:r>
      <w:r w:rsidR="0053706E">
        <w:rPr>
          <w:rFonts w:ascii="Cambria" w:hAnsi="Cambria"/>
          <w:sz w:val="24"/>
          <w:szCs w:val="24"/>
        </w:rPr>
        <w:t xml:space="preserve">. </w:t>
      </w:r>
      <w:r w:rsidRPr="0053706E">
        <w:rPr>
          <w:rFonts w:ascii="Cambria" w:hAnsi="Cambria"/>
          <w:sz w:val="24"/>
          <w:szCs w:val="24"/>
        </w:rPr>
        <w:t>The provisions are as follows:</w:t>
      </w:r>
    </w:p>
    <w:p w:rsidR="00430C4A" w:rsidRPr="0053706E" w:rsidRDefault="00430C4A" w:rsidP="0053706E">
      <w:pPr>
        <w:pStyle w:val="A"/>
        <w:numPr>
          <w:ilvl w:val="0"/>
          <w:numId w:val="3"/>
        </w:numPr>
        <w:rPr>
          <w:rFonts w:ascii="Cambria" w:hAnsi="Cambria"/>
          <w:sz w:val="24"/>
          <w:szCs w:val="24"/>
        </w:rPr>
      </w:pPr>
      <w:r w:rsidRPr="0053706E">
        <w:rPr>
          <w:rFonts w:ascii="Cambria" w:hAnsi="Cambria"/>
          <w:sz w:val="24"/>
          <w:szCs w:val="24"/>
        </w:rPr>
        <w:t>Effective for the rate period of July 1, 2017</w:t>
      </w:r>
      <w:r w:rsidR="00C26EA1">
        <w:rPr>
          <w:rFonts w:ascii="Cambria" w:hAnsi="Cambria"/>
          <w:sz w:val="24"/>
          <w:szCs w:val="24"/>
        </w:rPr>
        <w:t>,</w:t>
      </w:r>
      <w:r w:rsidRPr="0053706E">
        <w:rPr>
          <w:rFonts w:ascii="Cambria" w:hAnsi="Cambria"/>
          <w:sz w:val="24"/>
          <w:szCs w:val="24"/>
        </w:rPr>
        <w:t xml:space="preserve"> through June 30, 2018, the </w:t>
      </w:r>
      <w:r w:rsidR="004608E8">
        <w:rPr>
          <w:rFonts w:ascii="Cambria" w:hAnsi="Cambria"/>
          <w:sz w:val="24"/>
          <w:szCs w:val="24"/>
        </w:rPr>
        <w:t>D</w:t>
      </w:r>
      <w:r w:rsidRPr="0053706E">
        <w:rPr>
          <w:rFonts w:ascii="Cambria" w:hAnsi="Cambria"/>
          <w:sz w:val="24"/>
          <w:szCs w:val="24"/>
        </w:rPr>
        <w:t xml:space="preserve">epartment shall suspend the provisions of LAC </w:t>
      </w:r>
      <w:r w:rsidRPr="00C26EA1">
        <w:rPr>
          <w:rFonts w:ascii="Cambria" w:hAnsi="Cambria"/>
          <w:noProof/>
          <w:sz w:val="24"/>
          <w:szCs w:val="24"/>
        </w:rPr>
        <w:t>50:II</w:t>
      </w:r>
      <w:r w:rsidRPr="0053706E">
        <w:rPr>
          <w:rFonts w:ascii="Cambria" w:hAnsi="Cambria"/>
          <w:sz w:val="24"/>
          <w:szCs w:val="24"/>
        </w:rPr>
        <w:t>.Chapter 200 governing the reimbursement methodology for nursing facilities and impose the following provisions governing reimbursements for nursing facility services.</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During this</w:t>
      </w:r>
      <w:r w:rsidR="00C26EA1">
        <w:rPr>
          <w:rFonts w:ascii="Cambria" w:hAnsi="Cambria"/>
          <w:sz w:val="24"/>
          <w:szCs w:val="24"/>
        </w:rPr>
        <w:t xml:space="preserve"> </w:t>
      </w:r>
      <w:proofErr w:type="gramStart"/>
      <w:r w:rsidR="00C26EA1">
        <w:rPr>
          <w:rFonts w:ascii="Cambria" w:hAnsi="Cambria"/>
          <w:sz w:val="24"/>
          <w:szCs w:val="24"/>
        </w:rPr>
        <w:t>time</w:t>
      </w:r>
      <w:r w:rsidRPr="0053706E">
        <w:rPr>
          <w:rFonts w:ascii="Cambria" w:hAnsi="Cambria"/>
          <w:sz w:val="24"/>
          <w:szCs w:val="24"/>
        </w:rPr>
        <w:t xml:space="preserve"> </w:t>
      </w:r>
      <w:r w:rsidRPr="00C26EA1">
        <w:rPr>
          <w:rFonts w:ascii="Cambria" w:hAnsi="Cambria"/>
          <w:noProof/>
          <w:sz w:val="24"/>
          <w:szCs w:val="24"/>
        </w:rPr>
        <w:t>period</w:t>
      </w:r>
      <w:proofErr w:type="gramEnd"/>
      <w:r w:rsidRPr="0053706E">
        <w:rPr>
          <w:rFonts w:ascii="Cambria" w:hAnsi="Cambria"/>
          <w:sz w:val="24"/>
          <w:szCs w:val="24"/>
        </w:rPr>
        <w:t xml:space="preserve">, no inflation factor will </w:t>
      </w:r>
      <w:r w:rsidRPr="00C26EA1">
        <w:rPr>
          <w:rFonts w:ascii="Cambria" w:hAnsi="Cambria"/>
          <w:noProof/>
          <w:sz w:val="24"/>
          <w:szCs w:val="24"/>
        </w:rPr>
        <w:t>be applied</w:t>
      </w:r>
      <w:r w:rsidRPr="0053706E">
        <w:rPr>
          <w:rFonts w:ascii="Cambria" w:hAnsi="Cambria"/>
          <w:sz w:val="24"/>
          <w:szCs w:val="24"/>
        </w:rPr>
        <w:t xml:space="preserve"> to the base resident day weighted medians and prices calculated as of July 1, 2016.</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 xml:space="preserve">All costs and cost components that are required by Rule to </w:t>
      </w:r>
      <w:r w:rsidRPr="00C26EA1">
        <w:rPr>
          <w:rFonts w:ascii="Cambria" w:hAnsi="Cambria"/>
          <w:noProof/>
          <w:sz w:val="24"/>
          <w:szCs w:val="24"/>
        </w:rPr>
        <w:t>be trended</w:t>
      </w:r>
      <w:r w:rsidRPr="0053706E">
        <w:rPr>
          <w:rFonts w:ascii="Cambria" w:hAnsi="Cambria"/>
          <w:sz w:val="24"/>
          <w:szCs w:val="24"/>
        </w:rPr>
        <w:t xml:space="preserve"> forward will only be trended forward to the midpoint of the 2017 state fiscal year (December 31, 2016).</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The base capital per square foot value, land value per square foot, and per licensed bed equipment value utilized in the calculation of the fair rental value (FRV) component will be set equal to the value of these items as of July 1, 2016.</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 xml:space="preserve">Base capital values for the Bed Buy-Back Program (LAC </w:t>
      </w:r>
      <w:r w:rsidRPr="00C26EA1">
        <w:rPr>
          <w:rFonts w:ascii="Cambria" w:hAnsi="Cambria"/>
          <w:noProof/>
          <w:sz w:val="24"/>
          <w:szCs w:val="24"/>
        </w:rPr>
        <w:t>50:II.20012</w:t>
      </w:r>
      <w:r w:rsidRPr="0053706E">
        <w:rPr>
          <w:rFonts w:ascii="Cambria" w:hAnsi="Cambria"/>
          <w:sz w:val="24"/>
          <w:szCs w:val="24"/>
        </w:rPr>
        <w:t>) purposes will be set equal to the value of these items as of July 1, 2016.</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Nursing facility providers will not have their weighted age totals for the FRV component calculation purposes increased by one year as of July 1, 2017.</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As of the July 1, 2018</w:t>
      </w:r>
      <w:r w:rsidR="00C26EA1">
        <w:rPr>
          <w:rFonts w:ascii="Cambria" w:hAnsi="Cambria"/>
          <w:sz w:val="24"/>
          <w:szCs w:val="24"/>
        </w:rPr>
        <w:t>,</w:t>
      </w:r>
      <w:r w:rsidRPr="0053706E">
        <w:rPr>
          <w:rFonts w:ascii="Cambria" w:hAnsi="Cambria"/>
          <w:sz w:val="24"/>
          <w:szCs w:val="24"/>
        </w:rPr>
        <w:t xml:space="preserve"> rate setting, nursing facility provider weighted age totals for the FRV component calculation purposes will be increased by two years to account for the suspended year of aging occu</w:t>
      </w:r>
      <w:r w:rsidR="00C26EA1">
        <w:rPr>
          <w:rFonts w:ascii="Cambria" w:hAnsi="Cambria"/>
          <w:sz w:val="24"/>
          <w:szCs w:val="24"/>
        </w:rPr>
        <w:t>rring as of the July 1, 201,</w:t>
      </w:r>
      <w:r w:rsidRPr="0053706E">
        <w:rPr>
          <w:rFonts w:ascii="Cambria" w:hAnsi="Cambria"/>
          <w:sz w:val="24"/>
          <w:szCs w:val="24"/>
        </w:rPr>
        <w:t xml:space="preserve"> rate period.</w:t>
      </w:r>
    </w:p>
    <w:p w:rsidR="00430C4A" w:rsidRPr="0053706E" w:rsidRDefault="00430C4A" w:rsidP="0053706E">
      <w:pPr>
        <w:pStyle w:val="1"/>
        <w:numPr>
          <w:ilvl w:val="0"/>
          <w:numId w:val="4"/>
        </w:numPr>
        <w:tabs>
          <w:tab w:val="clear" w:pos="720"/>
          <w:tab w:val="clear" w:pos="979"/>
          <w:tab w:val="clear" w:pos="1152"/>
        </w:tabs>
        <w:rPr>
          <w:rFonts w:ascii="Cambria" w:hAnsi="Cambria"/>
          <w:sz w:val="24"/>
          <w:szCs w:val="24"/>
        </w:rPr>
      </w:pPr>
      <w:r w:rsidRPr="0053706E">
        <w:rPr>
          <w:rFonts w:ascii="Cambria" w:hAnsi="Cambria"/>
          <w:sz w:val="24"/>
          <w:szCs w:val="24"/>
        </w:rPr>
        <w:t xml:space="preserve">No other provisions of LAC </w:t>
      </w:r>
      <w:proofErr w:type="gramStart"/>
      <w:r w:rsidRPr="00C26EA1">
        <w:rPr>
          <w:rFonts w:ascii="Cambria" w:hAnsi="Cambria"/>
          <w:noProof/>
          <w:sz w:val="24"/>
          <w:szCs w:val="24"/>
        </w:rPr>
        <w:t>50:II</w:t>
      </w:r>
      <w:r w:rsidRPr="0053706E">
        <w:rPr>
          <w:rFonts w:ascii="Cambria" w:hAnsi="Cambria"/>
          <w:sz w:val="24"/>
          <w:szCs w:val="24"/>
        </w:rPr>
        <w:t>.</w:t>
      </w:r>
      <w:proofErr w:type="gramEnd"/>
      <w:r w:rsidR="0053706E">
        <w:rPr>
          <w:rFonts w:ascii="Cambria" w:hAnsi="Cambria"/>
          <w:sz w:val="24"/>
          <w:szCs w:val="24"/>
        </w:rPr>
        <w:t xml:space="preserve"> </w:t>
      </w:r>
      <w:r w:rsidRPr="0053706E">
        <w:rPr>
          <w:rFonts w:ascii="Cambria" w:hAnsi="Cambria"/>
          <w:sz w:val="24"/>
          <w:szCs w:val="24"/>
        </w:rPr>
        <w:t xml:space="preserve">Chapter 200 shall </w:t>
      </w:r>
      <w:r w:rsidRPr="00C26EA1">
        <w:rPr>
          <w:rFonts w:ascii="Cambria" w:hAnsi="Cambria"/>
          <w:noProof/>
          <w:sz w:val="24"/>
          <w:szCs w:val="24"/>
        </w:rPr>
        <w:t>be suspended</w:t>
      </w:r>
      <w:r w:rsidRPr="0053706E">
        <w:rPr>
          <w:rFonts w:ascii="Cambria" w:hAnsi="Cambria"/>
          <w:sz w:val="24"/>
          <w:szCs w:val="24"/>
        </w:rPr>
        <w:t xml:space="preserve"> for this </w:t>
      </w:r>
      <w:r w:rsidRPr="00C26EA1">
        <w:rPr>
          <w:rFonts w:ascii="Cambria" w:hAnsi="Cambria"/>
          <w:noProof/>
          <w:sz w:val="24"/>
          <w:szCs w:val="24"/>
        </w:rPr>
        <w:t>time period</w:t>
      </w:r>
      <w:r w:rsidRPr="0053706E">
        <w:rPr>
          <w:rFonts w:ascii="Cambria" w:hAnsi="Cambria"/>
          <w:sz w:val="24"/>
          <w:szCs w:val="24"/>
        </w:rPr>
        <w:t>.</w:t>
      </w:r>
    </w:p>
    <w:p w:rsidR="00430C4A" w:rsidRPr="0053706E" w:rsidRDefault="00430C4A" w:rsidP="00430C4A">
      <w:pPr>
        <w:pStyle w:val="1"/>
        <w:ind w:firstLine="0"/>
        <w:rPr>
          <w:rFonts w:ascii="Cambria" w:hAnsi="Cambria"/>
          <w:sz w:val="24"/>
          <w:szCs w:val="24"/>
        </w:rPr>
      </w:pPr>
    </w:p>
    <w:p w:rsidR="00430C4A" w:rsidRPr="0053706E" w:rsidRDefault="00430C4A" w:rsidP="0053706E">
      <w:pPr>
        <w:pStyle w:val="1"/>
        <w:ind w:firstLine="0"/>
        <w:rPr>
          <w:rFonts w:ascii="Cambria" w:hAnsi="Cambria"/>
          <w:sz w:val="24"/>
          <w:szCs w:val="24"/>
        </w:rPr>
      </w:pPr>
      <w:r w:rsidRPr="0053706E">
        <w:rPr>
          <w:rFonts w:ascii="Cambria" w:hAnsi="Cambria"/>
          <w:sz w:val="24"/>
          <w:szCs w:val="24"/>
        </w:rPr>
        <w:t xml:space="preserve">The Emergency Rule is effective October 30, 2017, and remains in effect for the maximum period allowed under the Act or until </w:t>
      </w:r>
      <w:r w:rsidR="004608E8">
        <w:rPr>
          <w:rFonts w:ascii="Cambria" w:hAnsi="Cambria"/>
          <w:sz w:val="24"/>
          <w:szCs w:val="24"/>
        </w:rPr>
        <w:t xml:space="preserve">the </w:t>
      </w:r>
      <w:r w:rsidRPr="00C26EA1">
        <w:rPr>
          <w:rFonts w:ascii="Cambria" w:hAnsi="Cambria"/>
          <w:noProof/>
          <w:sz w:val="24"/>
          <w:szCs w:val="24"/>
        </w:rPr>
        <w:t>adoption</w:t>
      </w:r>
      <w:r w:rsidR="004608E8">
        <w:rPr>
          <w:rFonts w:ascii="Cambria" w:hAnsi="Cambria"/>
          <w:sz w:val="24"/>
          <w:szCs w:val="24"/>
        </w:rPr>
        <w:t xml:space="preserve"> of the F</w:t>
      </w:r>
      <w:r w:rsidRPr="0053706E">
        <w:rPr>
          <w:rFonts w:ascii="Cambria" w:hAnsi="Cambria"/>
          <w:sz w:val="24"/>
          <w:szCs w:val="24"/>
        </w:rPr>
        <w:t>inal Rule, whichever comes first.</w:t>
      </w:r>
    </w:p>
    <w:p w:rsidR="00430C4A" w:rsidRPr="0053706E" w:rsidRDefault="00430C4A" w:rsidP="000557C9">
      <w:pPr>
        <w:pStyle w:val="1"/>
        <w:ind w:firstLine="0"/>
        <w:jc w:val="left"/>
        <w:rPr>
          <w:rFonts w:ascii="Cambria" w:hAnsi="Cambria"/>
          <w:sz w:val="24"/>
          <w:szCs w:val="24"/>
        </w:rPr>
      </w:pPr>
      <w:r w:rsidRPr="0053706E">
        <w:rPr>
          <w:rFonts w:ascii="Cambria" w:hAnsi="Cambria"/>
          <w:b/>
          <w:sz w:val="24"/>
          <w:szCs w:val="24"/>
        </w:rPr>
        <w:br/>
        <w:t>Recovery Aud</w:t>
      </w:r>
      <w:r w:rsidR="00C26EA1">
        <w:rPr>
          <w:rFonts w:ascii="Cambria" w:hAnsi="Cambria"/>
          <w:b/>
          <w:sz w:val="24"/>
          <w:szCs w:val="24"/>
        </w:rPr>
        <w:t xml:space="preserve">it Contractor Program (LAC </w:t>
      </w:r>
      <w:r w:rsidR="00C26EA1" w:rsidRPr="00C26EA1">
        <w:rPr>
          <w:rFonts w:ascii="Cambria" w:hAnsi="Cambria"/>
          <w:b/>
          <w:noProof/>
          <w:sz w:val="24"/>
          <w:szCs w:val="24"/>
        </w:rPr>
        <w:t>50:I.</w:t>
      </w:r>
      <w:r w:rsidRPr="00C26EA1">
        <w:rPr>
          <w:rFonts w:ascii="Cambria" w:hAnsi="Cambria"/>
          <w:b/>
          <w:noProof/>
          <w:sz w:val="24"/>
          <w:szCs w:val="24"/>
        </w:rPr>
        <w:t>Chapter</w:t>
      </w:r>
      <w:r w:rsidRPr="0053706E">
        <w:rPr>
          <w:rFonts w:ascii="Cambria" w:hAnsi="Cambria"/>
          <w:b/>
          <w:sz w:val="24"/>
          <w:szCs w:val="24"/>
        </w:rPr>
        <w:t xml:space="preserve"> 85)</w:t>
      </w:r>
      <w:r w:rsidRPr="0053706E">
        <w:rPr>
          <w:rFonts w:ascii="Cambria" w:hAnsi="Cambria"/>
          <w:b/>
          <w:sz w:val="24"/>
          <w:szCs w:val="24"/>
        </w:rPr>
        <w:br/>
      </w:r>
      <w:r w:rsidRPr="0053706E">
        <w:rPr>
          <w:rFonts w:ascii="Cambria" w:hAnsi="Cambria"/>
          <w:sz w:val="24"/>
          <w:szCs w:val="24"/>
        </w:rPr>
        <w:t>The Patient Protection and Affordable Care Act (PPACA) directed states to establish a Recovery Audit Contractor (RAC) Program to audit payments to Medicaid providers</w:t>
      </w:r>
      <w:r w:rsidR="0053706E">
        <w:rPr>
          <w:rFonts w:ascii="Cambria" w:hAnsi="Cambria"/>
          <w:sz w:val="24"/>
          <w:szCs w:val="24"/>
        </w:rPr>
        <w:t xml:space="preserve">. </w:t>
      </w:r>
      <w:r w:rsidRPr="0053706E">
        <w:rPr>
          <w:rFonts w:ascii="Cambria" w:hAnsi="Cambria"/>
          <w:sz w:val="24"/>
          <w:szCs w:val="24"/>
        </w:rPr>
        <w:t>Act 568 of the 2014 Regular Session of the Louisiana Legislature directed the Louisiana Department of Health (LDH) to implement a recovery audit program</w:t>
      </w:r>
      <w:r w:rsidR="0053706E">
        <w:rPr>
          <w:rFonts w:ascii="Cambria" w:hAnsi="Cambria"/>
          <w:sz w:val="24"/>
          <w:szCs w:val="24"/>
        </w:rPr>
        <w:t xml:space="preserve">. </w:t>
      </w:r>
      <w:r w:rsidRPr="0053706E">
        <w:rPr>
          <w:rFonts w:ascii="Cambria" w:hAnsi="Cambria"/>
          <w:sz w:val="24"/>
          <w:szCs w:val="24"/>
        </w:rPr>
        <w:t>On November 20, 2014, an Emergency Rule adopted provisions to establish the RAC program</w:t>
      </w:r>
      <w:r w:rsidR="0053706E">
        <w:rPr>
          <w:rFonts w:ascii="Cambria" w:hAnsi="Cambria"/>
          <w:sz w:val="24"/>
          <w:szCs w:val="24"/>
        </w:rPr>
        <w:t xml:space="preserve">. </w:t>
      </w:r>
      <w:r w:rsidR="004608E8">
        <w:rPr>
          <w:rFonts w:ascii="Cambria" w:hAnsi="Cambria"/>
          <w:sz w:val="24"/>
          <w:szCs w:val="24"/>
        </w:rPr>
        <w:t>The current Emergency R</w:t>
      </w:r>
      <w:r w:rsidRPr="0053706E">
        <w:rPr>
          <w:rFonts w:ascii="Cambria" w:hAnsi="Cambria"/>
          <w:sz w:val="24"/>
          <w:szCs w:val="24"/>
        </w:rPr>
        <w:t>ule simply continues the provisions of the prior Emergency Rule</w:t>
      </w:r>
      <w:r w:rsidR="0053706E">
        <w:rPr>
          <w:rFonts w:ascii="Cambria" w:hAnsi="Cambria"/>
          <w:sz w:val="24"/>
          <w:szCs w:val="24"/>
        </w:rPr>
        <w:t xml:space="preserve">. </w:t>
      </w:r>
    </w:p>
    <w:p w:rsidR="00430C4A" w:rsidRPr="0053706E" w:rsidRDefault="00430C4A" w:rsidP="00430C4A">
      <w:pPr>
        <w:pStyle w:val="1"/>
        <w:ind w:firstLine="0"/>
        <w:rPr>
          <w:rFonts w:ascii="Cambria" w:hAnsi="Cambria"/>
          <w:sz w:val="24"/>
          <w:szCs w:val="24"/>
        </w:rPr>
      </w:pPr>
    </w:p>
    <w:p w:rsidR="00430C4A" w:rsidRPr="0053706E" w:rsidRDefault="00430C4A" w:rsidP="00430C4A">
      <w:pPr>
        <w:pStyle w:val="1"/>
        <w:ind w:firstLine="0"/>
        <w:rPr>
          <w:rFonts w:ascii="Cambria" w:hAnsi="Cambria"/>
          <w:sz w:val="24"/>
          <w:szCs w:val="24"/>
        </w:rPr>
      </w:pPr>
    </w:p>
    <w:p w:rsidR="000557C9" w:rsidRPr="0053706E" w:rsidRDefault="00430C4A" w:rsidP="0053706E">
      <w:pPr>
        <w:rPr>
          <w:rFonts w:ascii="Cambria" w:hAnsi="Cambria"/>
          <w:b/>
          <w:color w:val="4472C4" w:themeColor="accent1"/>
          <w:sz w:val="24"/>
          <w:szCs w:val="24"/>
        </w:rPr>
      </w:pPr>
      <w:r w:rsidRPr="0053706E">
        <w:rPr>
          <w:rFonts w:ascii="Cambria" w:hAnsi="Cambria"/>
          <w:b/>
          <w:color w:val="4472C4" w:themeColor="accent1"/>
          <w:sz w:val="28"/>
          <w:szCs w:val="24"/>
        </w:rPr>
        <w:t xml:space="preserve">Notice of Intent </w:t>
      </w:r>
      <w:r w:rsidR="0053706E">
        <w:rPr>
          <w:rFonts w:ascii="Cambria" w:hAnsi="Cambria"/>
          <w:b/>
          <w:color w:val="4472C4" w:themeColor="accent1"/>
          <w:sz w:val="24"/>
          <w:szCs w:val="24"/>
        </w:rPr>
        <w:br/>
      </w:r>
      <w:r w:rsidR="000557C9" w:rsidRPr="0053706E">
        <w:rPr>
          <w:rFonts w:ascii="Cambria" w:hAnsi="Cambria"/>
          <w:b/>
          <w:sz w:val="24"/>
          <w:szCs w:val="24"/>
        </w:rPr>
        <w:t>Home Health Program: Home Health Encoun</w:t>
      </w:r>
      <w:r w:rsidR="00C26EA1">
        <w:rPr>
          <w:rFonts w:ascii="Cambria" w:hAnsi="Cambria"/>
          <w:b/>
          <w:sz w:val="24"/>
          <w:szCs w:val="24"/>
        </w:rPr>
        <w:t xml:space="preserve">ters and Services (LAC </w:t>
      </w:r>
      <w:r w:rsidR="00C26EA1" w:rsidRPr="00AB7E68">
        <w:rPr>
          <w:rFonts w:ascii="Cambria" w:hAnsi="Cambria"/>
          <w:b/>
          <w:noProof/>
          <w:sz w:val="24"/>
          <w:szCs w:val="24"/>
        </w:rPr>
        <w:t>50:XIII.</w:t>
      </w:r>
      <w:r w:rsidR="000557C9" w:rsidRPr="00AB7E68">
        <w:rPr>
          <w:rFonts w:ascii="Cambria" w:hAnsi="Cambria"/>
          <w:b/>
          <w:noProof/>
          <w:sz w:val="24"/>
          <w:szCs w:val="24"/>
        </w:rPr>
        <w:t>Chapters</w:t>
      </w:r>
      <w:r w:rsidR="000557C9" w:rsidRPr="0053706E">
        <w:rPr>
          <w:rFonts w:ascii="Cambria" w:hAnsi="Cambria"/>
          <w:b/>
          <w:sz w:val="24"/>
          <w:szCs w:val="24"/>
        </w:rPr>
        <w:t xml:space="preserve"> 1-5)</w:t>
      </w:r>
      <w:r w:rsidR="0053706E">
        <w:rPr>
          <w:rFonts w:ascii="Cambria" w:hAnsi="Cambria"/>
          <w:b/>
          <w:sz w:val="24"/>
          <w:szCs w:val="24"/>
        </w:rPr>
        <w:br/>
      </w:r>
      <w:r w:rsidR="000557C9" w:rsidRPr="0053706E">
        <w:rPr>
          <w:rFonts w:ascii="Cambria" w:hAnsi="Cambria"/>
          <w:kern w:val="2"/>
          <w:sz w:val="24"/>
          <w:szCs w:val="24"/>
        </w:rPr>
        <w:t xml:space="preserve">In compliance with Act 299 of the 2011 Regular Session of the Louisiana Legislature, the </w:t>
      </w:r>
      <w:r w:rsidR="004608E8">
        <w:rPr>
          <w:rFonts w:ascii="Cambria" w:hAnsi="Cambria"/>
          <w:kern w:val="2"/>
          <w:sz w:val="24"/>
          <w:szCs w:val="24"/>
        </w:rPr>
        <w:t xml:space="preserve">Louisiana </w:t>
      </w:r>
      <w:r w:rsidR="000557C9" w:rsidRPr="0053706E">
        <w:rPr>
          <w:rFonts w:ascii="Cambria" w:hAnsi="Cambria"/>
          <w:kern w:val="2"/>
          <w:sz w:val="24"/>
          <w:szCs w:val="24"/>
        </w:rPr>
        <w:t xml:space="preserve">Department of Health, Bureau of Health Services Financing amended the provisions governing home health services </w:t>
      </w:r>
      <w:r w:rsidR="000557C9" w:rsidRPr="00AB7E68">
        <w:rPr>
          <w:rFonts w:ascii="Cambria" w:hAnsi="Cambria"/>
          <w:noProof/>
          <w:kern w:val="2"/>
          <w:sz w:val="24"/>
          <w:szCs w:val="24"/>
        </w:rPr>
        <w:t>in order to</w:t>
      </w:r>
      <w:r w:rsidR="000557C9" w:rsidRPr="0053706E">
        <w:rPr>
          <w:rFonts w:ascii="Cambria" w:hAnsi="Cambria"/>
          <w:kern w:val="2"/>
          <w:sz w:val="24"/>
          <w:szCs w:val="24"/>
        </w:rPr>
        <w:t xml:space="preserve"> adopt provisions establishing mandatory cost reporting requirements for providers of home health services (</w:t>
      </w:r>
      <w:r w:rsidR="000557C9" w:rsidRPr="0053706E">
        <w:rPr>
          <w:rFonts w:ascii="Cambria" w:hAnsi="Cambria"/>
          <w:i/>
          <w:kern w:val="2"/>
          <w:sz w:val="24"/>
          <w:szCs w:val="24"/>
        </w:rPr>
        <w:t>Louisiana Register</w:t>
      </w:r>
      <w:r w:rsidR="000557C9" w:rsidRPr="0053706E">
        <w:rPr>
          <w:rFonts w:ascii="Cambria" w:hAnsi="Cambria"/>
          <w:kern w:val="2"/>
          <w:sz w:val="24"/>
          <w:szCs w:val="24"/>
        </w:rPr>
        <w:t xml:space="preserve">, Volume 39, Number 3). </w:t>
      </w:r>
      <w:r w:rsidR="004608E8">
        <w:rPr>
          <w:rFonts w:ascii="Cambria" w:hAnsi="Cambria"/>
          <w:noProof/>
          <w:kern w:val="2"/>
          <w:sz w:val="24"/>
          <w:szCs w:val="24"/>
        </w:rPr>
        <w:t>The D</w:t>
      </w:r>
      <w:r w:rsidR="000557C9" w:rsidRPr="00AB7E68">
        <w:rPr>
          <w:rFonts w:ascii="Cambria" w:hAnsi="Cambria"/>
          <w:noProof/>
          <w:kern w:val="2"/>
          <w:sz w:val="24"/>
          <w:szCs w:val="24"/>
        </w:rPr>
        <w:t xml:space="preserve">epartment now proposes to amend the provisions governing home health services in order to comply with </w:t>
      </w:r>
      <w:r w:rsidR="004608E8">
        <w:rPr>
          <w:rFonts w:ascii="Cambria" w:hAnsi="Cambria"/>
          <w:noProof/>
          <w:kern w:val="2"/>
          <w:sz w:val="24"/>
          <w:szCs w:val="24"/>
        </w:rPr>
        <w:t xml:space="preserve">Centers </w:t>
      </w:r>
      <w:r w:rsidR="000557C9" w:rsidRPr="00AB7E68">
        <w:rPr>
          <w:rFonts w:ascii="Cambria" w:hAnsi="Cambria"/>
          <w:noProof/>
          <w:kern w:val="2"/>
          <w:sz w:val="24"/>
          <w:szCs w:val="24"/>
        </w:rPr>
        <w:t>for Medicare and Medicaid Services (CMS) regulations re</w:t>
      </w:r>
      <w:r w:rsidR="004608E8">
        <w:rPr>
          <w:rFonts w:ascii="Cambria" w:hAnsi="Cambria"/>
          <w:noProof/>
          <w:kern w:val="2"/>
          <w:sz w:val="24"/>
          <w:szCs w:val="24"/>
        </w:rPr>
        <w:t>quiring face-to-face encounters</w:t>
      </w:r>
      <w:r w:rsidR="000557C9" w:rsidRPr="00AB7E68">
        <w:rPr>
          <w:rFonts w:ascii="Cambria" w:hAnsi="Cambria"/>
          <w:noProof/>
          <w:kern w:val="2"/>
          <w:sz w:val="24"/>
          <w:szCs w:val="24"/>
        </w:rPr>
        <w:t xml:space="preserve"> to clarify the provisions governing home health</w:t>
      </w:r>
      <w:r w:rsidR="000557C9" w:rsidRPr="00AB7E68">
        <w:rPr>
          <w:rFonts w:ascii="Cambria" w:hAnsi="Cambria"/>
          <w:noProof/>
          <w:sz w:val="24"/>
          <w:szCs w:val="24"/>
        </w:rPr>
        <w:t xml:space="preserve"> </w:t>
      </w:r>
      <w:r w:rsidR="004608E8">
        <w:rPr>
          <w:rFonts w:ascii="Cambria" w:hAnsi="Cambria"/>
          <w:noProof/>
          <w:kern w:val="2"/>
          <w:sz w:val="24"/>
          <w:szCs w:val="24"/>
        </w:rPr>
        <w:t>services settings</w:t>
      </w:r>
      <w:r w:rsidR="000557C9" w:rsidRPr="00AB7E68">
        <w:rPr>
          <w:rFonts w:ascii="Cambria" w:hAnsi="Cambria"/>
          <w:noProof/>
          <w:kern w:val="2"/>
          <w:sz w:val="24"/>
          <w:szCs w:val="24"/>
        </w:rPr>
        <w:t xml:space="preserve"> and to remove the visit limit for adult recipients in order to align services with those received by the Medicaid expansion population.</w:t>
      </w:r>
    </w:p>
    <w:p w:rsidR="000557C9" w:rsidRPr="0053706E" w:rsidRDefault="000557C9" w:rsidP="000557C9">
      <w:pPr>
        <w:spacing w:line="240" w:lineRule="auto"/>
        <w:rPr>
          <w:rFonts w:ascii="Cambria" w:hAnsi="Cambria"/>
          <w:sz w:val="24"/>
          <w:szCs w:val="24"/>
        </w:rPr>
      </w:pPr>
      <w:r w:rsidRPr="0053706E">
        <w:rPr>
          <w:rFonts w:ascii="Cambria" w:hAnsi="Cambria"/>
          <w:sz w:val="24"/>
          <w:szCs w:val="24"/>
        </w:rPr>
        <w:t xml:space="preserve">The complete text of the proposed rule can </w:t>
      </w:r>
      <w:r w:rsidRPr="00AB7E68">
        <w:rPr>
          <w:rFonts w:ascii="Cambria" w:hAnsi="Cambria"/>
          <w:noProof/>
          <w:sz w:val="24"/>
          <w:szCs w:val="24"/>
        </w:rPr>
        <w:t>be found</w:t>
      </w:r>
      <w:r w:rsidRPr="0053706E">
        <w:rPr>
          <w:rFonts w:ascii="Cambria" w:hAnsi="Cambria"/>
          <w:sz w:val="24"/>
          <w:szCs w:val="24"/>
        </w:rPr>
        <w:t xml:space="preserve"> here (p. 2028)</w:t>
      </w:r>
      <w:r w:rsidR="0053706E">
        <w:rPr>
          <w:rFonts w:ascii="Cambria" w:hAnsi="Cambria"/>
          <w:sz w:val="24"/>
          <w:szCs w:val="24"/>
        </w:rPr>
        <w:t xml:space="preserve">. </w:t>
      </w:r>
      <w:r w:rsidRPr="0053706E">
        <w:rPr>
          <w:rFonts w:ascii="Cambria" w:hAnsi="Cambria"/>
          <w:sz w:val="24"/>
          <w:szCs w:val="24"/>
        </w:rPr>
        <w:t xml:space="preserve">A public hearing on this proposed rule </w:t>
      </w:r>
      <w:r w:rsidRPr="00AB7E68">
        <w:rPr>
          <w:rFonts w:ascii="Cambria" w:hAnsi="Cambria"/>
          <w:noProof/>
          <w:sz w:val="24"/>
          <w:szCs w:val="24"/>
        </w:rPr>
        <w:t>is scheduled</w:t>
      </w:r>
      <w:r w:rsidRPr="0053706E">
        <w:rPr>
          <w:rFonts w:ascii="Cambria" w:hAnsi="Cambria"/>
          <w:sz w:val="24"/>
          <w:szCs w:val="24"/>
        </w:rPr>
        <w:t xml:space="preserve"> for November 29, 2017</w:t>
      </w:r>
      <w:r w:rsidR="00C26EA1">
        <w:rPr>
          <w:rFonts w:ascii="Cambria" w:hAnsi="Cambria"/>
          <w:sz w:val="24"/>
          <w:szCs w:val="24"/>
        </w:rPr>
        <w:t>,</w:t>
      </w:r>
      <w:r w:rsidRPr="0053706E">
        <w:rPr>
          <w:rFonts w:ascii="Cambria" w:hAnsi="Cambria"/>
          <w:sz w:val="24"/>
          <w:szCs w:val="24"/>
        </w:rPr>
        <w:t xml:space="preserve"> at 9:30 a.m. in Room 118, Bienville Building, 628 Fourth St., Baton Rouge, Louisiana</w:t>
      </w:r>
      <w:r w:rsidR="0053706E">
        <w:rPr>
          <w:rFonts w:ascii="Cambria" w:hAnsi="Cambria"/>
          <w:sz w:val="24"/>
          <w:szCs w:val="24"/>
        </w:rPr>
        <w:t xml:space="preserve">. </w:t>
      </w:r>
    </w:p>
    <w:p w:rsidR="0052298A" w:rsidRPr="0053706E" w:rsidRDefault="00467C2D" w:rsidP="000557C9">
      <w:pPr>
        <w:spacing w:line="240" w:lineRule="auto"/>
        <w:rPr>
          <w:rFonts w:ascii="Cambria" w:hAnsi="Cambria"/>
          <w:sz w:val="24"/>
          <w:szCs w:val="24"/>
        </w:rPr>
      </w:pPr>
    </w:p>
    <w:p w:rsidR="000557C9" w:rsidRPr="0053706E" w:rsidRDefault="000557C9" w:rsidP="000557C9">
      <w:pPr>
        <w:spacing w:line="240" w:lineRule="auto"/>
        <w:rPr>
          <w:rFonts w:ascii="Cambria" w:hAnsi="Cambria"/>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53706E">
        <w:rPr>
          <w:rFonts w:ascii="Cambria" w:hAnsi="Cambria"/>
          <w:b/>
          <w:color w:val="4472C4" w:themeColor="accent1"/>
          <w:sz w:val="28"/>
          <w:szCs w:val="24"/>
        </w:rPr>
        <w:t>Final Rules</w:t>
      </w:r>
      <w:r w:rsidR="0053706E" w:rsidRPr="0053706E">
        <w:rPr>
          <w:rFonts w:ascii="Cambria" w:hAnsi="Cambria"/>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3706E">
        <w:rPr>
          <w:rFonts w:ascii="Cambria" w:hAnsi="Cambria"/>
          <w:b/>
          <w:sz w:val="24"/>
          <w:szCs w:val="24"/>
        </w:rPr>
        <w:t>Adult Day Health Care</w:t>
      </w:r>
      <w:r w:rsidR="004608E8">
        <w:rPr>
          <w:rFonts w:ascii="Cambria" w:hAnsi="Cambria"/>
          <w:b/>
          <w:sz w:val="24"/>
          <w:szCs w:val="24"/>
        </w:rPr>
        <w:t xml:space="preserve">: </w:t>
      </w:r>
      <w:r w:rsidRPr="0053706E">
        <w:rPr>
          <w:rFonts w:ascii="Cambria" w:hAnsi="Cambria"/>
          <w:b/>
          <w:sz w:val="24"/>
          <w:szCs w:val="24"/>
        </w:rPr>
        <w:t xml:space="preserve">Licensing Standards (LAC </w:t>
      </w:r>
      <w:r w:rsidRPr="00AB7E68">
        <w:rPr>
          <w:rFonts w:ascii="Cambria" w:hAnsi="Cambria"/>
          <w:b/>
          <w:noProof/>
          <w:sz w:val="24"/>
          <w:szCs w:val="24"/>
        </w:rPr>
        <w:t>48:I.Chapter</w:t>
      </w:r>
      <w:r w:rsidRPr="0053706E">
        <w:rPr>
          <w:rFonts w:ascii="Cambria" w:hAnsi="Cambria"/>
          <w:b/>
          <w:sz w:val="24"/>
          <w:szCs w:val="24"/>
        </w:rPr>
        <w:t xml:space="preserve"> 42)</w:t>
      </w:r>
      <w:r w:rsidR="0053706E">
        <w:rPr>
          <w:rFonts w:ascii="Cambria" w:hAnsi="Cambria"/>
          <w:color w:val="4472C4"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r>
      <w:r w:rsidRPr="0053706E">
        <w:rPr>
          <w:rFonts w:ascii="Cambria" w:hAnsi="Cambria"/>
          <w:sz w:val="24"/>
          <w:szCs w:val="24"/>
        </w:rPr>
        <w:t>In July, LDH published a Notice of Intent regarding licensing standards for Adult Day Health Care</w:t>
      </w:r>
      <w:r w:rsidR="0053706E">
        <w:rPr>
          <w:rFonts w:ascii="Cambria" w:hAnsi="Cambria"/>
          <w:sz w:val="24"/>
          <w:szCs w:val="24"/>
        </w:rPr>
        <w:t xml:space="preserve">. </w:t>
      </w:r>
      <w:r w:rsidRPr="0053706E">
        <w:rPr>
          <w:rFonts w:ascii="Cambria" w:hAnsi="Cambria"/>
          <w:sz w:val="24"/>
          <w:szCs w:val="24"/>
        </w:rPr>
        <w:t xml:space="preserve">Since its introduction, the proposed rules have </w:t>
      </w:r>
      <w:r w:rsidRPr="00AB7E68">
        <w:rPr>
          <w:rFonts w:ascii="Cambria" w:hAnsi="Cambria"/>
          <w:noProof/>
          <w:sz w:val="24"/>
          <w:szCs w:val="24"/>
        </w:rPr>
        <w:t>been properly implemented</w:t>
      </w:r>
      <w:r w:rsidRPr="0053706E">
        <w:rPr>
          <w:rFonts w:ascii="Cambria" w:hAnsi="Cambria"/>
          <w:sz w:val="24"/>
          <w:szCs w:val="24"/>
        </w:rPr>
        <w:t xml:space="preserve"> through the administrative process</w:t>
      </w:r>
      <w:r w:rsidR="0053706E">
        <w:rPr>
          <w:rFonts w:ascii="Cambria" w:hAnsi="Cambria"/>
          <w:sz w:val="24"/>
          <w:szCs w:val="24"/>
        </w:rPr>
        <w:t xml:space="preserve">. </w:t>
      </w:r>
      <w:r w:rsidRPr="0053706E">
        <w:rPr>
          <w:rFonts w:ascii="Cambria" w:hAnsi="Cambria"/>
          <w:sz w:val="24"/>
          <w:szCs w:val="24"/>
        </w:rPr>
        <w:t>As such, the rules became final on October 20, 2017</w:t>
      </w:r>
      <w:r w:rsidR="0053706E">
        <w:rPr>
          <w:rFonts w:ascii="Cambria" w:hAnsi="Cambria"/>
          <w:sz w:val="24"/>
          <w:szCs w:val="24"/>
        </w:rPr>
        <w:t xml:space="preserve">. </w:t>
      </w:r>
      <w:r w:rsidRPr="0053706E">
        <w:rPr>
          <w:rFonts w:ascii="Cambria" w:hAnsi="Cambria"/>
          <w:sz w:val="24"/>
          <w:szCs w:val="24"/>
        </w:rPr>
        <w:t xml:space="preserve">A full text of the rules can </w:t>
      </w:r>
      <w:r w:rsidRPr="00AB7E68">
        <w:rPr>
          <w:rFonts w:ascii="Cambria" w:hAnsi="Cambria"/>
          <w:noProof/>
          <w:sz w:val="24"/>
          <w:szCs w:val="24"/>
        </w:rPr>
        <w:t>be found</w:t>
      </w:r>
      <w:r w:rsidR="00DF5051">
        <w:rPr>
          <w:rFonts w:ascii="Cambria" w:hAnsi="Cambria"/>
          <w:sz w:val="24"/>
          <w:szCs w:val="24"/>
        </w:rPr>
        <w:t xml:space="preserve"> on page 92 of the </w:t>
      </w:r>
      <w:hyperlink r:id="rId8" w:history="1">
        <w:r w:rsidR="00DF5051" w:rsidRPr="00DF5051">
          <w:rPr>
            <w:rStyle w:val="Hyperlink"/>
            <w:rFonts w:ascii="Cambria" w:hAnsi="Cambria"/>
            <w:sz w:val="24"/>
            <w:szCs w:val="24"/>
          </w:rPr>
          <w:t>PDF</w:t>
        </w:r>
      </w:hyperlink>
      <w:r w:rsidR="00DF5051">
        <w:rPr>
          <w:rFonts w:ascii="Cambria" w:hAnsi="Cambria"/>
          <w:sz w:val="24"/>
          <w:szCs w:val="24"/>
        </w:rPr>
        <w:t>.</w:t>
      </w:r>
    </w:p>
    <w:p w:rsidR="002D336D" w:rsidRPr="0053706E" w:rsidRDefault="0053706E" w:rsidP="000557C9">
      <w:pPr>
        <w:spacing w:line="240" w:lineRule="auto"/>
        <w:rPr>
          <w:rFonts w:ascii="Cambria" w:hAnsi="Cambria"/>
          <w:b/>
          <w:sz w:val="24"/>
          <w:szCs w:val="24"/>
        </w:rPr>
      </w:pPr>
      <w:r>
        <w:rPr>
          <w:rFonts w:ascii="Cambria" w:hAnsi="Cambria"/>
          <w:b/>
          <w:sz w:val="24"/>
          <w:szCs w:val="24"/>
        </w:rPr>
        <w:br/>
      </w:r>
      <w:r w:rsidR="002D336D" w:rsidRPr="0053706E">
        <w:rPr>
          <w:rFonts w:ascii="Cambria" w:hAnsi="Cambria"/>
          <w:b/>
          <w:sz w:val="24"/>
          <w:szCs w:val="24"/>
        </w:rPr>
        <w:t>Adult Residential Care Providers</w:t>
      </w:r>
      <w:r w:rsidR="004608E8">
        <w:rPr>
          <w:rFonts w:ascii="Cambria" w:hAnsi="Cambria"/>
          <w:b/>
          <w:sz w:val="24"/>
          <w:szCs w:val="24"/>
        </w:rPr>
        <w:t xml:space="preserve">: </w:t>
      </w:r>
      <w:r w:rsidR="002D336D" w:rsidRPr="0053706E">
        <w:rPr>
          <w:rFonts w:ascii="Cambria" w:hAnsi="Cambria"/>
          <w:b/>
          <w:sz w:val="24"/>
          <w:szCs w:val="24"/>
        </w:rPr>
        <w:t>Licensing Standards (LAC 48.</w:t>
      </w:r>
      <w:proofErr w:type="gramStart"/>
      <w:r w:rsidR="002D336D" w:rsidRPr="0053706E">
        <w:rPr>
          <w:rFonts w:ascii="Cambria" w:hAnsi="Cambria"/>
          <w:b/>
          <w:sz w:val="24"/>
          <w:szCs w:val="24"/>
        </w:rPr>
        <w:t>I.Chapter</w:t>
      </w:r>
      <w:proofErr w:type="gramEnd"/>
      <w:r w:rsidR="002D336D" w:rsidRPr="0053706E">
        <w:rPr>
          <w:rFonts w:ascii="Cambria" w:hAnsi="Cambria"/>
          <w:b/>
          <w:sz w:val="24"/>
          <w:szCs w:val="24"/>
        </w:rPr>
        <w:t xml:space="preserve"> 68)</w:t>
      </w:r>
      <w:r>
        <w:rPr>
          <w:rFonts w:ascii="Cambria" w:hAnsi="Cambria"/>
          <w:b/>
          <w:sz w:val="24"/>
          <w:szCs w:val="24"/>
        </w:rPr>
        <w:br/>
      </w:r>
      <w:r w:rsidR="002D336D" w:rsidRPr="0053706E">
        <w:rPr>
          <w:rFonts w:ascii="Cambria" w:hAnsi="Cambria"/>
          <w:sz w:val="24"/>
          <w:szCs w:val="24"/>
        </w:rPr>
        <w:t>In July, LDH published a Notice of Intent regarding licensing standards for Adult Residential Care Providers</w:t>
      </w:r>
      <w:r>
        <w:rPr>
          <w:rFonts w:ascii="Cambria" w:hAnsi="Cambria"/>
          <w:sz w:val="24"/>
          <w:szCs w:val="24"/>
        </w:rPr>
        <w:t xml:space="preserve">. </w:t>
      </w:r>
      <w:r w:rsidR="002D336D" w:rsidRPr="0053706E">
        <w:rPr>
          <w:rFonts w:ascii="Cambria" w:hAnsi="Cambria"/>
          <w:sz w:val="24"/>
          <w:szCs w:val="24"/>
        </w:rPr>
        <w:t xml:space="preserve">Since its introduction, the proposed rules have </w:t>
      </w:r>
      <w:r w:rsidR="002D336D" w:rsidRPr="00AB7E68">
        <w:rPr>
          <w:rFonts w:ascii="Cambria" w:hAnsi="Cambria"/>
          <w:noProof/>
          <w:sz w:val="24"/>
          <w:szCs w:val="24"/>
        </w:rPr>
        <w:t>been properly implemented</w:t>
      </w:r>
      <w:r w:rsidR="002D336D" w:rsidRPr="0053706E">
        <w:rPr>
          <w:rFonts w:ascii="Cambria" w:hAnsi="Cambria"/>
          <w:sz w:val="24"/>
          <w:szCs w:val="24"/>
        </w:rPr>
        <w:t xml:space="preserve"> through the administrative process</w:t>
      </w:r>
      <w:r>
        <w:rPr>
          <w:rFonts w:ascii="Cambria" w:hAnsi="Cambria"/>
          <w:sz w:val="24"/>
          <w:szCs w:val="24"/>
        </w:rPr>
        <w:t xml:space="preserve">. </w:t>
      </w:r>
      <w:r w:rsidR="002D336D" w:rsidRPr="0053706E">
        <w:rPr>
          <w:rFonts w:ascii="Cambria" w:hAnsi="Cambria"/>
          <w:sz w:val="24"/>
          <w:szCs w:val="24"/>
        </w:rPr>
        <w:t>As such, the rules became final on October 20, 2017</w:t>
      </w:r>
      <w:r>
        <w:rPr>
          <w:rFonts w:ascii="Cambria" w:hAnsi="Cambria"/>
          <w:sz w:val="24"/>
          <w:szCs w:val="24"/>
        </w:rPr>
        <w:t xml:space="preserve">. </w:t>
      </w:r>
      <w:r w:rsidR="002D336D" w:rsidRPr="0053706E">
        <w:rPr>
          <w:rFonts w:ascii="Cambria" w:hAnsi="Cambria"/>
          <w:sz w:val="24"/>
          <w:szCs w:val="24"/>
        </w:rPr>
        <w:t xml:space="preserve">A full text of the rules can </w:t>
      </w:r>
      <w:r w:rsidR="002D336D" w:rsidRPr="00AB7E68">
        <w:rPr>
          <w:rFonts w:ascii="Cambria" w:hAnsi="Cambria"/>
          <w:noProof/>
          <w:sz w:val="24"/>
          <w:szCs w:val="24"/>
        </w:rPr>
        <w:t>be found</w:t>
      </w:r>
      <w:r w:rsidR="00DF5051">
        <w:rPr>
          <w:rFonts w:ascii="Cambria" w:hAnsi="Cambria"/>
          <w:sz w:val="24"/>
          <w:szCs w:val="24"/>
        </w:rPr>
        <w:t xml:space="preserve"> on page 104 of the </w:t>
      </w:r>
      <w:hyperlink r:id="rId9" w:history="1">
        <w:r w:rsidR="00DF5051" w:rsidRPr="00DF5051">
          <w:rPr>
            <w:rStyle w:val="Hyperlink"/>
            <w:rFonts w:ascii="Cambria" w:hAnsi="Cambria"/>
            <w:sz w:val="24"/>
            <w:szCs w:val="24"/>
          </w:rPr>
          <w:t>PDF</w:t>
        </w:r>
      </w:hyperlink>
      <w:r w:rsidR="00DF5051">
        <w:rPr>
          <w:rFonts w:ascii="Cambria" w:hAnsi="Cambria"/>
          <w:sz w:val="24"/>
          <w:szCs w:val="24"/>
        </w:rPr>
        <w:t>.</w:t>
      </w:r>
      <w:r>
        <w:rPr>
          <w:rFonts w:ascii="Cambria" w:hAnsi="Cambria"/>
          <w:b/>
          <w:sz w:val="24"/>
          <w:szCs w:val="24"/>
        </w:rPr>
        <w:br/>
      </w:r>
    </w:p>
    <w:p w:rsidR="002D336D" w:rsidRPr="0053706E" w:rsidRDefault="004608E8" w:rsidP="0053706E">
      <w:pPr>
        <w:spacing w:line="240" w:lineRule="auto"/>
        <w:rPr>
          <w:rFonts w:ascii="Cambria" w:hAnsi="Cambria"/>
          <w:b/>
          <w:sz w:val="24"/>
          <w:szCs w:val="24"/>
        </w:rPr>
      </w:pPr>
      <w:r>
        <w:rPr>
          <w:rFonts w:ascii="Cambria" w:hAnsi="Cambria"/>
          <w:b/>
          <w:sz w:val="24"/>
          <w:szCs w:val="24"/>
        </w:rPr>
        <w:t>Home and Community-</w:t>
      </w:r>
      <w:r w:rsidR="002D336D" w:rsidRPr="0053706E">
        <w:rPr>
          <w:rFonts w:ascii="Cambria" w:hAnsi="Cambria"/>
          <w:b/>
          <w:sz w:val="24"/>
          <w:szCs w:val="24"/>
        </w:rPr>
        <w:t>Based Service Waivers</w:t>
      </w:r>
      <w:r>
        <w:rPr>
          <w:rFonts w:ascii="Cambria" w:hAnsi="Cambria"/>
          <w:b/>
          <w:sz w:val="24"/>
          <w:szCs w:val="24"/>
        </w:rPr>
        <w:t xml:space="preserve">: </w:t>
      </w:r>
      <w:r w:rsidR="002D336D" w:rsidRPr="0053706E">
        <w:rPr>
          <w:rFonts w:ascii="Cambria" w:hAnsi="Cambria"/>
          <w:b/>
          <w:sz w:val="24"/>
          <w:szCs w:val="24"/>
        </w:rPr>
        <w:t xml:space="preserve">Standards for Participation (LAC </w:t>
      </w:r>
      <w:r w:rsidR="002D336D" w:rsidRPr="00AB7E68">
        <w:rPr>
          <w:rFonts w:ascii="Cambria" w:hAnsi="Cambria"/>
          <w:b/>
          <w:noProof/>
          <w:sz w:val="24"/>
          <w:szCs w:val="24"/>
        </w:rPr>
        <w:t>50:XXI.101</w:t>
      </w:r>
      <w:r w:rsidR="002D336D" w:rsidRPr="0053706E">
        <w:rPr>
          <w:rFonts w:ascii="Cambria" w:hAnsi="Cambria"/>
          <w:b/>
          <w:sz w:val="24"/>
          <w:szCs w:val="24"/>
        </w:rPr>
        <w:t>, 301, 305, and Chapter 9)</w:t>
      </w:r>
      <w:r w:rsidR="0053706E">
        <w:rPr>
          <w:rFonts w:ascii="Cambria" w:hAnsi="Cambria"/>
          <w:b/>
          <w:sz w:val="24"/>
          <w:szCs w:val="24"/>
        </w:rPr>
        <w:br/>
      </w:r>
      <w:r w:rsidR="002D336D" w:rsidRPr="0053706E">
        <w:rPr>
          <w:rFonts w:ascii="Cambria" w:hAnsi="Cambria"/>
          <w:sz w:val="24"/>
          <w:szCs w:val="24"/>
        </w:rPr>
        <w:t>In July, LDH published a Notice of Inte</w:t>
      </w:r>
      <w:r>
        <w:rPr>
          <w:rFonts w:ascii="Cambria" w:hAnsi="Cambria"/>
          <w:sz w:val="24"/>
          <w:szCs w:val="24"/>
        </w:rPr>
        <w:t>nt regarding home and community-based service w</w:t>
      </w:r>
      <w:r w:rsidR="002D336D" w:rsidRPr="0053706E">
        <w:rPr>
          <w:rFonts w:ascii="Cambria" w:hAnsi="Cambria"/>
          <w:sz w:val="24"/>
          <w:szCs w:val="24"/>
        </w:rPr>
        <w:t>aivers and its standards for participation</w:t>
      </w:r>
      <w:r w:rsidR="0053706E">
        <w:rPr>
          <w:rFonts w:ascii="Cambria" w:hAnsi="Cambria"/>
          <w:sz w:val="24"/>
          <w:szCs w:val="24"/>
        </w:rPr>
        <w:t xml:space="preserve">. </w:t>
      </w:r>
      <w:r w:rsidR="002D336D" w:rsidRPr="0053706E">
        <w:rPr>
          <w:rFonts w:ascii="Cambria" w:hAnsi="Cambria"/>
          <w:sz w:val="24"/>
          <w:szCs w:val="24"/>
        </w:rPr>
        <w:t xml:space="preserve">Since its introduction, the proposed rules have </w:t>
      </w:r>
      <w:r w:rsidR="002D336D" w:rsidRPr="00AB7E68">
        <w:rPr>
          <w:rFonts w:ascii="Cambria" w:hAnsi="Cambria"/>
          <w:noProof/>
          <w:sz w:val="24"/>
          <w:szCs w:val="24"/>
        </w:rPr>
        <w:t>been properly implemented</w:t>
      </w:r>
      <w:r w:rsidR="002D336D" w:rsidRPr="0053706E">
        <w:rPr>
          <w:rFonts w:ascii="Cambria" w:hAnsi="Cambria"/>
          <w:sz w:val="24"/>
          <w:szCs w:val="24"/>
        </w:rPr>
        <w:t xml:space="preserve"> through the administrative process</w:t>
      </w:r>
      <w:r w:rsidR="0053706E">
        <w:rPr>
          <w:rFonts w:ascii="Cambria" w:hAnsi="Cambria"/>
          <w:sz w:val="24"/>
          <w:szCs w:val="24"/>
        </w:rPr>
        <w:t xml:space="preserve">. </w:t>
      </w:r>
      <w:r w:rsidR="002D336D" w:rsidRPr="0053706E">
        <w:rPr>
          <w:rFonts w:ascii="Cambria" w:hAnsi="Cambria"/>
          <w:sz w:val="24"/>
          <w:szCs w:val="24"/>
        </w:rPr>
        <w:t>As such, the rules became final on October 20, 2017</w:t>
      </w:r>
      <w:r w:rsidR="0053706E">
        <w:rPr>
          <w:rFonts w:ascii="Cambria" w:hAnsi="Cambria"/>
          <w:sz w:val="24"/>
          <w:szCs w:val="24"/>
        </w:rPr>
        <w:t xml:space="preserve">. </w:t>
      </w:r>
      <w:r w:rsidR="002D336D" w:rsidRPr="0053706E">
        <w:rPr>
          <w:rFonts w:ascii="Cambria" w:hAnsi="Cambria"/>
          <w:sz w:val="24"/>
          <w:szCs w:val="24"/>
        </w:rPr>
        <w:t xml:space="preserve">A full text of the rules can </w:t>
      </w:r>
      <w:r w:rsidR="002D336D" w:rsidRPr="00AB7E68">
        <w:rPr>
          <w:rFonts w:ascii="Cambria" w:hAnsi="Cambria"/>
          <w:noProof/>
          <w:sz w:val="24"/>
          <w:szCs w:val="24"/>
        </w:rPr>
        <w:t>be found</w:t>
      </w:r>
      <w:r w:rsidR="002D336D" w:rsidRPr="0053706E">
        <w:rPr>
          <w:rFonts w:ascii="Cambria" w:hAnsi="Cambria"/>
          <w:sz w:val="24"/>
          <w:szCs w:val="24"/>
        </w:rPr>
        <w:t xml:space="preserve"> </w:t>
      </w:r>
      <w:r w:rsidR="00DF5051">
        <w:rPr>
          <w:rFonts w:ascii="Cambria" w:hAnsi="Cambria"/>
          <w:sz w:val="24"/>
          <w:szCs w:val="24"/>
        </w:rPr>
        <w:t xml:space="preserve">on page 105 of the </w:t>
      </w:r>
      <w:hyperlink r:id="rId10" w:history="1">
        <w:r w:rsidR="00DF5051" w:rsidRPr="00DF5051">
          <w:rPr>
            <w:rStyle w:val="Hyperlink"/>
            <w:rFonts w:ascii="Cambria" w:hAnsi="Cambria"/>
            <w:sz w:val="24"/>
            <w:szCs w:val="24"/>
          </w:rPr>
          <w:t>PDF</w:t>
        </w:r>
      </w:hyperlink>
      <w:r w:rsidR="00DF5051">
        <w:rPr>
          <w:rFonts w:ascii="Cambria" w:hAnsi="Cambria"/>
          <w:sz w:val="24"/>
          <w:szCs w:val="24"/>
        </w:rPr>
        <w:t>.</w:t>
      </w:r>
      <w:r w:rsidR="0053706E">
        <w:rPr>
          <w:rFonts w:ascii="Cambria" w:hAnsi="Cambria"/>
          <w:sz w:val="24"/>
          <w:szCs w:val="24"/>
        </w:rPr>
        <w:br/>
      </w:r>
    </w:p>
    <w:p w:rsidR="002D336D" w:rsidRPr="0053706E" w:rsidRDefault="002D336D" w:rsidP="002D336D">
      <w:pPr>
        <w:pStyle w:val="1"/>
        <w:ind w:firstLine="0"/>
        <w:rPr>
          <w:rFonts w:ascii="Cambria" w:hAnsi="Cambria"/>
          <w:b/>
          <w:sz w:val="24"/>
          <w:szCs w:val="24"/>
        </w:rPr>
      </w:pPr>
      <w:r w:rsidRPr="0053706E">
        <w:rPr>
          <w:rFonts w:ascii="Cambria" w:hAnsi="Cambria"/>
          <w:b/>
          <w:sz w:val="24"/>
          <w:szCs w:val="24"/>
        </w:rPr>
        <w:t>Personal Care Services</w:t>
      </w:r>
      <w:r w:rsidR="004608E8">
        <w:rPr>
          <w:rFonts w:ascii="Cambria" w:hAnsi="Cambria"/>
          <w:b/>
          <w:sz w:val="24"/>
          <w:szCs w:val="24"/>
        </w:rPr>
        <w:t>: Long Term</w:t>
      </w:r>
      <w:r w:rsidRPr="0053706E">
        <w:rPr>
          <w:rFonts w:ascii="Cambria" w:hAnsi="Cambria"/>
          <w:b/>
          <w:sz w:val="24"/>
          <w:szCs w:val="24"/>
        </w:rPr>
        <w:t xml:space="preserve"> Standards for Participation (LAC </w:t>
      </w:r>
      <w:r w:rsidRPr="00AB7E68">
        <w:rPr>
          <w:rFonts w:ascii="Cambria" w:hAnsi="Cambria"/>
          <w:b/>
          <w:noProof/>
          <w:sz w:val="24"/>
          <w:szCs w:val="24"/>
        </w:rPr>
        <w:t>50:XV.12901</w:t>
      </w:r>
      <w:r w:rsidRPr="0053706E">
        <w:rPr>
          <w:rFonts w:ascii="Cambria" w:hAnsi="Cambria"/>
          <w:b/>
          <w:sz w:val="24"/>
          <w:szCs w:val="24"/>
        </w:rPr>
        <w:t xml:space="preserve"> and 12909)</w:t>
      </w:r>
    </w:p>
    <w:p w:rsidR="002D336D" w:rsidRDefault="002D336D" w:rsidP="002D336D">
      <w:pPr>
        <w:pStyle w:val="1"/>
        <w:ind w:firstLine="0"/>
        <w:rPr>
          <w:rFonts w:ascii="Cambria" w:hAnsi="Cambria"/>
          <w:sz w:val="24"/>
          <w:szCs w:val="24"/>
        </w:rPr>
      </w:pPr>
      <w:r w:rsidRPr="0053706E">
        <w:rPr>
          <w:rFonts w:ascii="Cambria" w:hAnsi="Cambria"/>
          <w:sz w:val="24"/>
          <w:szCs w:val="24"/>
        </w:rPr>
        <w:t>In July, LDH published a Notice of Intent regarding personal care services and standards for participation</w:t>
      </w:r>
      <w:r w:rsidR="0053706E">
        <w:rPr>
          <w:rFonts w:ascii="Cambria" w:hAnsi="Cambria"/>
          <w:sz w:val="24"/>
          <w:szCs w:val="24"/>
        </w:rPr>
        <w:t xml:space="preserve">. </w:t>
      </w:r>
      <w:r w:rsidRPr="0053706E">
        <w:rPr>
          <w:rFonts w:ascii="Cambria" w:hAnsi="Cambria"/>
          <w:sz w:val="24"/>
          <w:szCs w:val="24"/>
        </w:rPr>
        <w:t xml:space="preserve">Since its introduction, the proposed rules have </w:t>
      </w:r>
      <w:r w:rsidRPr="00AB7E68">
        <w:rPr>
          <w:rFonts w:ascii="Cambria" w:hAnsi="Cambria"/>
          <w:noProof/>
          <w:sz w:val="24"/>
          <w:szCs w:val="24"/>
        </w:rPr>
        <w:t>been properly implemented</w:t>
      </w:r>
      <w:r w:rsidRPr="0053706E">
        <w:rPr>
          <w:rFonts w:ascii="Cambria" w:hAnsi="Cambria"/>
          <w:sz w:val="24"/>
          <w:szCs w:val="24"/>
        </w:rPr>
        <w:t xml:space="preserve"> through the administrative process</w:t>
      </w:r>
      <w:r w:rsidR="0053706E">
        <w:rPr>
          <w:rFonts w:ascii="Cambria" w:hAnsi="Cambria"/>
          <w:sz w:val="24"/>
          <w:szCs w:val="24"/>
        </w:rPr>
        <w:t xml:space="preserve">. </w:t>
      </w:r>
      <w:r w:rsidRPr="0053706E">
        <w:rPr>
          <w:rFonts w:ascii="Cambria" w:hAnsi="Cambria"/>
          <w:sz w:val="24"/>
          <w:szCs w:val="24"/>
        </w:rPr>
        <w:t>As such, the rules became final on October 20, 2017</w:t>
      </w:r>
      <w:r w:rsidR="0053706E">
        <w:rPr>
          <w:rFonts w:ascii="Cambria" w:hAnsi="Cambria"/>
          <w:sz w:val="24"/>
          <w:szCs w:val="24"/>
        </w:rPr>
        <w:t xml:space="preserve">. </w:t>
      </w:r>
      <w:r w:rsidRPr="0053706E">
        <w:rPr>
          <w:rFonts w:ascii="Cambria" w:hAnsi="Cambria"/>
          <w:sz w:val="24"/>
          <w:szCs w:val="24"/>
        </w:rPr>
        <w:t>A full text</w:t>
      </w:r>
      <w:r w:rsidR="00C26EA1">
        <w:rPr>
          <w:rFonts w:ascii="Cambria" w:hAnsi="Cambria"/>
          <w:sz w:val="24"/>
          <w:szCs w:val="24"/>
        </w:rPr>
        <w:t xml:space="preserve"> of the rules can be found here on page </w:t>
      </w:r>
      <w:r w:rsidR="00DF5051">
        <w:rPr>
          <w:rFonts w:ascii="Cambria" w:hAnsi="Cambria"/>
          <w:sz w:val="24"/>
          <w:szCs w:val="24"/>
        </w:rPr>
        <w:t xml:space="preserve">108 of the </w:t>
      </w:r>
      <w:hyperlink r:id="rId11" w:history="1">
        <w:r w:rsidR="00DF5051" w:rsidRPr="00DF5051">
          <w:rPr>
            <w:rStyle w:val="Hyperlink"/>
            <w:rFonts w:ascii="Cambria" w:hAnsi="Cambria"/>
            <w:sz w:val="24"/>
            <w:szCs w:val="24"/>
          </w:rPr>
          <w:t>PDF</w:t>
        </w:r>
      </w:hyperlink>
      <w:r w:rsidR="00C26EA1">
        <w:rPr>
          <w:rFonts w:ascii="Cambria" w:hAnsi="Cambria"/>
          <w:sz w:val="24"/>
          <w:szCs w:val="24"/>
        </w:rPr>
        <w:t>.</w:t>
      </w:r>
    </w:p>
    <w:p w:rsidR="00C26EA1" w:rsidRDefault="00C26EA1" w:rsidP="002D336D">
      <w:pPr>
        <w:pStyle w:val="1"/>
        <w:ind w:firstLine="0"/>
        <w:rPr>
          <w:rFonts w:ascii="Cambria" w:hAnsi="Cambria"/>
          <w:sz w:val="24"/>
          <w:szCs w:val="24"/>
        </w:rPr>
      </w:pPr>
    </w:p>
    <w:p w:rsidR="002D336D" w:rsidRPr="00EF3912" w:rsidRDefault="00C26EA1" w:rsidP="00DF5051">
      <w:pPr>
        <w:pStyle w:val="1"/>
        <w:ind w:firstLine="0"/>
        <w:rPr>
          <w:rFonts w:ascii="Cambria" w:hAnsi="Cambria"/>
          <w:sz w:val="24"/>
          <w:szCs w:val="24"/>
        </w:rPr>
      </w:pPr>
      <w:r>
        <w:rPr>
          <w:rFonts w:ascii="Cambria" w:hAnsi="Cambria"/>
          <w:sz w:val="24"/>
          <w:szCs w:val="24"/>
        </w:rPr>
        <w:t xml:space="preserve">If you have any questions or comments regarding this update, contact LNHA’s Legal and Policy Director, Wes Hataway, at </w:t>
      </w:r>
      <w:hyperlink r:id="rId12" w:history="1">
        <w:r w:rsidRPr="00281A15">
          <w:rPr>
            <w:rStyle w:val="Hyperlink"/>
            <w:rFonts w:ascii="Cambria" w:hAnsi="Cambria"/>
            <w:sz w:val="24"/>
            <w:szCs w:val="24"/>
          </w:rPr>
          <w:t>whataway@lnha.org</w:t>
        </w:r>
      </w:hyperlink>
      <w:r>
        <w:rPr>
          <w:rFonts w:ascii="Cambria" w:hAnsi="Cambria"/>
          <w:sz w:val="24"/>
          <w:szCs w:val="24"/>
        </w:rPr>
        <w:t xml:space="preserve">. </w:t>
      </w:r>
    </w:p>
    <w:sectPr w:rsidR="002D336D" w:rsidRPr="00EF3912" w:rsidSect="0053706E">
      <w:headerReference w:type="default" r:id="rId13"/>
      <w:footerReference w:type="even"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06E" w:rsidRDefault="0053706E" w:rsidP="0053706E">
      <w:pPr>
        <w:spacing w:after="0" w:line="240" w:lineRule="auto"/>
      </w:pPr>
      <w:r>
        <w:separator/>
      </w:r>
    </w:p>
  </w:endnote>
  <w:endnote w:type="continuationSeparator" w:id="0">
    <w:p w:rsidR="0053706E" w:rsidRDefault="0053706E" w:rsidP="00537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mbria" w:hAnsi="Cambria"/>
        <w:sz w:val="20"/>
      </w:rPr>
      <w:id w:val="1732655199"/>
      <w:docPartObj>
        <w:docPartGallery w:val="Page Numbers (Bottom of Page)"/>
        <w:docPartUnique/>
      </w:docPartObj>
    </w:sdtPr>
    <w:sdtEndPr>
      <w:rPr>
        <w:noProof/>
      </w:rPr>
    </w:sdtEndPr>
    <w:sdtContent>
      <w:p w:rsidR="00EF3912" w:rsidRPr="00EF3912" w:rsidRDefault="00EF3912" w:rsidP="00EF3912">
        <w:pPr>
          <w:pStyle w:val="Footer"/>
          <w:jc w:val="center"/>
          <w:rPr>
            <w:rFonts w:ascii="Cambria" w:hAnsi="Cambria"/>
            <w:sz w:val="20"/>
          </w:rPr>
        </w:pPr>
        <w:r w:rsidRPr="00EF3912">
          <w:rPr>
            <w:rFonts w:ascii="Cambria" w:hAnsi="Cambria"/>
            <w:sz w:val="20"/>
          </w:rPr>
          <w:fldChar w:fldCharType="begin"/>
        </w:r>
        <w:r w:rsidRPr="00EF3912">
          <w:rPr>
            <w:rFonts w:ascii="Cambria" w:hAnsi="Cambria"/>
            <w:sz w:val="20"/>
          </w:rPr>
          <w:instrText xml:space="preserve"> PAGE   \* MERGEFORMAT </w:instrText>
        </w:r>
        <w:r w:rsidRPr="00EF3912">
          <w:rPr>
            <w:rFonts w:ascii="Cambria" w:hAnsi="Cambria"/>
            <w:sz w:val="20"/>
          </w:rPr>
          <w:fldChar w:fldCharType="separate"/>
        </w:r>
        <w:r w:rsidRPr="00EF3912">
          <w:rPr>
            <w:rFonts w:ascii="Cambria" w:hAnsi="Cambria"/>
            <w:noProof/>
            <w:sz w:val="20"/>
          </w:rPr>
          <w:t>2</w:t>
        </w:r>
        <w:r w:rsidRPr="00EF3912">
          <w:rPr>
            <w:rFonts w:ascii="Cambria" w:hAnsi="Cambria"/>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6E" w:rsidRPr="0053706E" w:rsidRDefault="0053706E" w:rsidP="0053706E">
    <w:pPr>
      <w:pStyle w:val="Footer"/>
      <w:jc w:val="center"/>
      <w:rPr>
        <w:rFonts w:ascii="Cambria" w:hAnsi="Cambria"/>
        <w:sz w:val="20"/>
      </w:rPr>
    </w:pPr>
    <w:r w:rsidRPr="0053706E">
      <w:rPr>
        <w:rFonts w:ascii="Cambria" w:hAnsi="Cambria"/>
        <w:sz w:val="20"/>
      </w:rPr>
      <w:t>Louisiana Nursing Home Association</w:t>
    </w:r>
  </w:p>
  <w:p w:rsidR="0053706E" w:rsidRPr="0053706E" w:rsidRDefault="0053706E" w:rsidP="0053706E">
    <w:pPr>
      <w:pStyle w:val="Footer"/>
      <w:jc w:val="center"/>
      <w:rPr>
        <w:rFonts w:ascii="Cambria" w:hAnsi="Cambria"/>
        <w:sz w:val="20"/>
      </w:rPr>
    </w:pPr>
    <w:r w:rsidRPr="0053706E">
      <w:rPr>
        <w:rFonts w:ascii="Cambria" w:hAnsi="Cambria"/>
        <w:sz w:val="20"/>
      </w:rPr>
      <w:t>7844 Office Park Blvd., Baton Rouge, LA 70809</w:t>
    </w:r>
  </w:p>
  <w:p w:rsidR="0053706E" w:rsidRPr="0053706E" w:rsidRDefault="0053706E" w:rsidP="0053706E">
    <w:pPr>
      <w:pStyle w:val="Footer"/>
      <w:jc w:val="center"/>
      <w:rPr>
        <w:rFonts w:ascii="Cambria" w:hAnsi="Cambria"/>
        <w:sz w:val="20"/>
      </w:rPr>
    </w:pPr>
    <w:r w:rsidRPr="0053706E">
      <w:rPr>
        <w:rFonts w:ascii="Cambria" w:hAnsi="Cambria"/>
        <w:sz w:val="20"/>
      </w:rPr>
      <w:t xml:space="preserve">225.927.5642 | </w:t>
    </w:r>
    <w:hyperlink r:id="rId1" w:history="1">
      <w:r w:rsidRPr="0053706E">
        <w:rPr>
          <w:rStyle w:val="Hyperlink"/>
          <w:rFonts w:ascii="Cambria" w:hAnsi="Cambria"/>
          <w:sz w:val="20"/>
        </w:rPr>
        <w:t>www.lnha.org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06E" w:rsidRDefault="0053706E" w:rsidP="0053706E">
      <w:pPr>
        <w:spacing w:after="0" w:line="240" w:lineRule="auto"/>
      </w:pPr>
      <w:r>
        <w:separator/>
      </w:r>
    </w:p>
  </w:footnote>
  <w:footnote w:type="continuationSeparator" w:id="0">
    <w:p w:rsidR="0053706E" w:rsidRDefault="0053706E" w:rsidP="005370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706E" w:rsidRDefault="0053706E" w:rsidP="0053706E">
    <w:pPr>
      <w:pStyle w:val="Header"/>
      <w:jc w:val="center"/>
    </w:pPr>
    <w:r>
      <w:rPr>
        <w:noProof/>
      </w:rPr>
      <w:drawing>
        <wp:inline distT="0" distB="0" distL="0" distR="0">
          <wp:extent cx="447675" cy="45364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nha icon.jpg"/>
                  <pic:cNvPicPr/>
                </pic:nvPicPr>
                <pic:blipFill>
                  <a:blip r:embed="rId1">
                    <a:extLst>
                      <a:ext uri="{28A0092B-C50C-407E-A947-70E740481C1C}">
                        <a14:useLocalDpi xmlns:a14="http://schemas.microsoft.com/office/drawing/2010/main" val="0"/>
                      </a:ext>
                    </a:extLst>
                  </a:blip>
                  <a:stretch>
                    <a:fillRect/>
                  </a:stretch>
                </pic:blipFill>
                <pic:spPr>
                  <a:xfrm>
                    <a:off x="0" y="0"/>
                    <a:ext cx="455898" cy="461977"/>
                  </a:xfrm>
                  <a:prstGeom prst="rect">
                    <a:avLst/>
                  </a:prstGeom>
                </pic:spPr>
              </pic:pic>
            </a:graphicData>
          </a:graphic>
        </wp:inline>
      </w:drawing>
    </w: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8341E"/>
    <w:multiLevelType w:val="hybridMultilevel"/>
    <w:tmpl w:val="6834EFCC"/>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 w15:restartNumberingAfterBreak="0">
    <w:nsid w:val="2AA41789"/>
    <w:multiLevelType w:val="hybridMultilevel"/>
    <w:tmpl w:val="521EDF34"/>
    <w:lvl w:ilvl="0" w:tplc="0409000F">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 w15:restartNumberingAfterBreak="0">
    <w:nsid w:val="45EC3A69"/>
    <w:multiLevelType w:val="hybridMultilevel"/>
    <w:tmpl w:val="5C7A4D2E"/>
    <w:lvl w:ilvl="0" w:tplc="0F70B1D8">
      <w:start w:val="3"/>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3" w15:restartNumberingAfterBreak="0">
    <w:nsid w:val="74A06A75"/>
    <w:multiLevelType w:val="hybridMultilevel"/>
    <w:tmpl w:val="B09E53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TY2MTc2NDI2MzA0sDRR0lEKTi0uzszPAykwrQUA9pV8AiwAAAA="/>
  </w:docVars>
  <w:rsids>
    <w:rsidRoot w:val="00430C4A"/>
    <w:rsid w:val="000557C9"/>
    <w:rsid w:val="000D3521"/>
    <w:rsid w:val="002D336D"/>
    <w:rsid w:val="00430C4A"/>
    <w:rsid w:val="004608E8"/>
    <w:rsid w:val="00467C2D"/>
    <w:rsid w:val="0053706E"/>
    <w:rsid w:val="006D0B47"/>
    <w:rsid w:val="0098375E"/>
    <w:rsid w:val="00AB7E68"/>
    <w:rsid w:val="00B30BA9"/>
    <w:rsid w:val="00C26EA1"/>
    <w:rsid w:val="00CB2293"/>
    <w:rsid w:val="00DB6B42"/>
    <w:rsid w:val="00DF5051"/>
    <w:rsid w:val="00EF3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E8F404EC-8041-4146-A08F-1568B47E6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0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C4A"/>
    <w:rPr>
      <w:color w:val="0563C1" w:themeColor="hyperlink"/>
      <w:u w:val="single"/>
    </w:rPr>
  </w:style>
  <w:style w:type="character" w:customStyle="1" w:styleId="AChar">
    <w:name w:val="A. Char"/>
    <w:link w:val="A"/>
    <w:locked/>
    <w:rsid w:val="00430C4A"/>
    <w:rPr>
      <w:kern w:val="2"/>
    </w:rPr>
  </w:style>
  <w:style w:type="paragraph" w:customStyle="1" w:styleId="A">
    <w:name w:val="A."/>
    <w:basedOn w:val="Normal"/>
    <w:link w:val="AChar"/>
    <w:rsid w:val="00430C4A"/>
    <w:pPr>
      <w:tabs>
        <w:tab w:val="left" w:pos="144"/>
        <w:tab w:val="left" w:pos="187"/>
        <w:tab w:val="left" w:pos="540"/>
        <w:tab w:val="left" w:pos="907"/>
        <w:tab w:val="left" w:pos="1080"/>
      </w:tabs>
      <w:spacing w:after="0" w:line="240" w:lineRule="auto"/>
      <w:ind w:firstLine="187"/>
      <w:jc w:val="both"/>
      <w:outlineLvl w:val="3"/>
    </w:pPr>
    <w:rPr>
      <w:kern w:val="2"/>
    </w:rPr>
  </w:style>
  <w:style w:type="character" w:customStyle="1" w:styleId="1Char">
    <w:name w:val="1. Char"/>
    <w:link w:val="1"/>
    <w:locked/>
    <w:rsid w:val="00430C4A"/>
    <w:rPr>
      <w:kern w:val="2"/>
    </w:rPr>
  </w:style>
  <w:style w:type="paragraph" w:customStyle="1" w:styleId="1">
    <w:name w:val="1."/>
    <w:basedOn w:val="Normal"/>
    <w:link w:val="1Char"/>
    <w:rsid w:val="00430C4A"/>
    <w:pPr>
      <w:tabs>
        <w:tab w:val="left" w:pos="720"/>
        <w:tab w:val="left" w:pos="979"/>
        <w:tab w:val="left" w:pos="1152"/>
      </w:tabs>
      <w:spacing w:after="0" w:line="240" w:lineRule="auto"/>
      <w:ind w:firstLine="360"/>
      <w:jc w:val="both"/>
      <w:outlineLvl w:val="4"/>
    </w:pPr>
    <w:rPr>
      <w:kern w:val="2"/>
    </w:rPr>
  </w:style>
  <w:style w:type="paragraph" w:styleId="Header">
    <w:name w:val="header"/>
    <w:basedOn w:val="Normal"/>
    <w:link w:val="HeaderChar"/>
    <w:uiPriority w:val="99"/>
    <w:unhideWhenUsed/>
    <w:rsid w:val="005370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06E"/>
  </w:style>
  <w:style w:type="paragraph" w:styleId="Footer">
    <w:name w:val="footer"/>
    <w:basedOn w:val="Normal"/>
    <w:link w:val="FooterChar"/>
    <w:uiPriority w:val="99"/>
    <w:unhideWhenUsed/>
    <w:rsid w:val="005370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06E"/>
  </w:style>
  <w:style w:type="character" w:styleId="UnresolvedMention">
    <w:name w:val="Unresolved Mention"/>
    <w:basedOn w:val="DefaultParagraphFont"/>
    <w:uiPriority w:val="99"/>
    <w:semiHidden/>
    <w:unhideWhenUsed/>
    <w:rsid w:val="0053706E"/>
    <w:rPr>
      <w:color w:val="808080"/>
      <w:shd w:val="clear" w:color="auto" w:fill="E6E6E6"/>
    </w:rPr>
  </w:style>
  <w:style w:type="paragraph" w:styleId="BalloonText">
    <w:name w:val="Balloon Text"/>
    <w:basedOn w:val="Normal"/>
    <w:link w:val="BalloonTextChar"/>
    <w:uiPriority w:val="99"/>
    <w:semiHidden/>
    <w:unhideWhenUsed/>
    <w:rsid w:val="00AB7E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7E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a.la.gov/osr/REG/1710/1710.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oa.la.gov/osr/REG/1710/1710.pdf" TargetMode="External"/><Relationship Id="rId12" Type="http://schemas.openxmlformats.org/officeDocument/2006/relationships/hyperlink" Target="mailto:whataway@lnha.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a.la.gov/osr/REG/1710/1710.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doa.la.gov/osr/REG/1710/1710.pdf" TargetMode="External"/><Relationship Id="rId4" Type="http://schemas.openxmlformats.org/officeDocument/2006/relationships/webSettings" Target="webSettings.xml"/><Relationship Id="rId9" Type="http://schemas.openxmlformats.org/officeDocument/2006/relationships/hyperlink" Target="http://www.doa.la.gov/osr/REG/1710/1710.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lnh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975</Words>
  <Characters>5559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Hataway</dc:creator>
  <cp:keywords/>
  <dc:description/>
  <cp:lastModifiedBy>Karen Miller</cp:lastModifiedBy>
  <cp:revision>7</cp:revision>
  <cp:lastPrinted>2017-10-25T19:42:00Z</cp:lastPrinted>
  <dcterms:created xsi:type="dcterms:W3CDTF">2017-10-24T15:19:00Z</dcterms:created>
  <dcterms:modified xsi:type="dcterms:W3CDTF">2017-10-25T19:42:00Z</dcterms:modified>
</cp:coreProperties>
</file>